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FD3" w:rsidRPr="00D83E49" w:rsidRDefault="00A26FD3" w:rsidP="001478EA">
      <w:pPr>
        <w:jc w:val="center"/>
        <w:rPr>
          <w:rFonts w:ascii="Times New Roman" w:hAnsi="Times New Roman"/>
          <w:b/>
          <w:bCs/>
          <w:color w:val="000000"/>
          <w:sz w:val="16"/>
          <w:szCs w:val="16"/>
        </w:rPr>
      </w:pPr>
      <w:r w:rsidRPr="00D83E49">
        <w:rPr>
          <w:rFonts w:ascii="Times New Roman" w:hAnsi="Times New Roman"/>
          <w:b/>
          <w:bCs/>
          <w:color w:val="000000"/>
          <w:sz w:val="16"/>
          <w:szCs w:val="16"/>
        </w:rPr>
        <w:t>ЗАКЛАД ДОШКІЛЬНОЇ ОСВІТИ ( ЯСЛА-САДОК)</w:t>
      </w:r>
    </w:p>
    <w:p w:rsidR="00A26FD3" w:rsidRPr="00D83E49" w:rsidRDefault="00A26FD3" w:rsidP="001478EA">
      <w:pPr>
        <w:jc w:val="center"/>
        <w:rPr>
          <w:rFonts w:ascii="Times New Roman" w:hAnsi="Times New Roman"/>
          <w:b/>
          <w:bCs/>
          <w:color w:val="000000"/>
          <w:sz w:val="16"/>
          <w:szCs w:val="16"/>
        </w:rPr>
      </w:pPr>
      <w:r w:rsidRPr="00D83E49">
        <w:rPr>
          <w:rFonts w:ascii="Times New Roman" w:hAnsi="Times New Roman"/>
          <w:b/>
          <w:bCs/>
          <w:color w:val="000000"/>
          <w:sz w:val="16"/>
          <w:szCs w:val="16"/>
        </w:rPr>
        <w:t>№ 6 «КАЗКА» САРНЕНСЬКОЇ МІСЬКОЇ РАДИ</w:t>
      </w:r>
    </w:p>
    <w:p w:rsidR="00A26FD3" w:rsidRPr="001478EA" w:rsidRDefault="00A26FD3" w:rsidP="001478EA">
      <w:pPr>
        <w:jc w:val="both"/>
        <w:rPr>
          <w:rFonts w:ascii="Times New Roman" w:hAnsi="Times New Roman"/>
          <w:i/>
          <w:sz w:val="20"/>
          <w:szCs w:val="20"/>
        </w:rPr>
      </w:pPr>
      <w:bookmarkStart w:id="0" w:name="_GoBack"/>
      <w:bookmarkEnd w:id="0"/>
    </w:p>
    <w:p w:rsidR="00A26FD3" w:rsidRDefault="00A26FD3" w:rsidP="001478EA">
      <w:pPr>
        <w:spacing w:before="280" w:after="0" w:line="240" w:lineRule="auto"/>
        <w:jc w:val="center"/>
        <w:rPr>
          <w:rFonts w:ascii="Times New Roman" w:hAnsi="Times New Roman"/>
          <w:b/>
          <w:sz w:val="20"/>
          <w:szCs w:val="20"/>
        </w:rPr>
      </w:pPr>
      <w:r>
        <w:rPr>
          <w:rFonts w:ascii="Times New Roman" w:hAnsi="Times New Roman"/>
          <w:b/>
          <w:sz w:val="20"/>
          <w:szCs w:val="20"/>
        </w:rPr>
        <w:t xml:space="preserve">ОБҐРУНТУВАННЯ </w:t>
      </w:r>
    </w:p>
    <w:p w:rsidR="00A26FD3" w:rsidRDefault="00A26FD3" w:rsidP="001478EA">
      <w:pPr>
        <w:spacing w:after="280" w:line="240" w:lineRule="auto"/>
        <w:jc w:val="center"/>
        <w:rPr>
          <w:rFonts w:ascii="Times New Roman" w:hAnsi="Times New Roman"/>
          <w:b/>
          <w:sz w:val="20"/>
          <w:szCs w:val="20"/>
          <w:u w:val="single"/>
        </w:rPr>
      </w:pPr>
      <w:r>
        <w:rPr>
          <w:rFonts w:ascii="Times New Roman" w:hAnsi="Times New Roman"/>
          <w:sz w:val="20"/>
          <w:szCs w:val="20"/>
        </w:rPr>
        <w:t>технічних та якісних характеристик закупівлі, розміру бюджетного призначення, очікуваної вартості предмета закупівлі</w:t>
      </w:r>
    </w:p>
    <w:p w:rsidR="00A26FD3" w:rsidRDefault="00A26FD3" w:rsidP="001478EA">
      <w:pPr>
        <w:spacing w:before="280" w:after="280" w:line="240" w:lineRule="auto"/>
        <w:jc w:val="both"/>
        <w:rPr>
          <w:rFonts w:ascii="Times New Roman" w:hAnsi="Times New Roman"/>
          <w:i/>
          <w:sz w:val="20"/>
          <w:szCs w:val="20"/>
        </w:rPr>
      </w:pPr>
      <w:r>
        <w:rPr>
          <w:rFonts w:ascii="Times New Roman" w:hAnsi="Times New Roman"/>
          <w:i/>
          <w:sz w:val="20"/>
          <w:szCs w:val="20"/>
        </w:rPr>
        <w:t>(оприлюднюється на виконання постанови Кабміну № 710 від 11.10.2016 «Про ефективне використання державних коштів» (зі змінами))</w:t>
      </w:r>
    </w:p>
    <w:p w:rsidR="00A26FD3" w:rsidRPr="00DB1EE4" w:rsidRDefault="00A26FD3" w:rsidP="001478EA">
      <w:pPr>
        <w:spacing w:line="240" w:lineRule="auto"/>
        <w:jc w:val="both"/>
        <w:rPr>
          <w:rFonts w:ascii="Times New Roman" w:hAnsi="Times New Roman"/>
          <w:b/>
          <w:color w:val="000000"/>
          <w:sz w:val="20"/>
          <w:szCs w:val="20"/>
        </w:rPr>
      </w:pPr>
      <w:r>
        <w:rPr>
          <w:rFonts w:ascii="Times New Roman" w:hAnsi="Times New Roman"/>
          <w:b/>
          <w:color w:val="000000"/>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DB1EE4">
        <w:rPr>
          <w:rFonts w:ascii="Times New Roman" w:hAnsi="Times New Roman"/>
          <w:color w:val="000000"/>
          <w:sz w:val="20"/>
          <w:szCs w:val="20"/>
        </w:rPr>
        <w:t>Заклад дошкільної освіти (ясла-садок) № 6 «Казка» Сарненської міської ради, вул. Березнева, 3, місто Сарни, Сарненський  район, Рівненська область, код ЄДРПОУ 37261366..</w:t>
      </w:r>
    </w:p>
    <w:p w:rsidR="00A26FD3" w:rsidRDefault="00A26FD3">
      <w:pPr>
        <w:spacing w:before="280" w:after="280" w:line="240" w:lineRule="auto"/>
        <w:jc w:val="both"/>
        <w:rPr>
          <w:rFonts w:ascii="Times New Roman" w:hAnsi="Times New Roman"/>
          <w:sz w:val="20"/>
          <w:szCs w:val="20"/>
        </w:rPr>
      </w:pPr>
      <w:r>
        <w:rPr>
          <w:rFonts w:ascii="Times New Roman" w:hAnsi="Times New Roman"/>
          <w:b/>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hAnsi="Times New Roman"/>
          <w:sz w:val="20"/>
          <w:szCs w:val="20"/>
        </w:rPr>
        <w:t xml:space="preserve"> Електрична енергія (ДК 021:2015 – 09310000-5 «Електрична енергія»). </w:t>
      </w:r>
    </w:p>
    <w:p w:rsidR="00A26FD3" w:rsidRDefault="00A26FD3">
      <w:pPr>
        <w:spacing w:before="280" w:after="280" w:line="240" w:lineRule="auto"/>
        <w:jc w:val="both"/>
        <w:rPr>
          <w:rFonts w:ascii="Times New Roman" w:hAnsi="Times New Roman"/>
          <w:sz w:val="20"/>
          <w:szCs w:val="20"/>
        </w:rPr>
      </w:pPr>
      <w:r>
        <w:rPr>
          <w:rFonts w:ascii="Times New Roman" w:hAnsi="Times New Roman"/>
          <w:b/>
          <w:sz w:val="20"/>
          <w:szCs w:val="20"/>
        </w:rPr>
        <w:t>Вид та ідентифікатор процедури закупівлі:</w:t>
      </w:r>
      <w:r>
        <w:rPr>
          <w:rFonts w:ascii="Times New Roman" w:hAnsi="Times New Roman"/>
          <w:sz w:val="20"/>
          <w:szCs w:val="20"/>
        </w:rPr>
        <w:t xml:space="preserve"> </w:t>
      </w:r>
      <w:r w:rsidRPr="001478EA">
        <w:rPr>
          <w:rFonts w:ascii="Times New Roman" w:hAnsi="Times New Roman"/>
          <w:sz w:val="20"/>
          <w:szCs w:val="20"/>
        </w:rPr>
        <w:t>UA-2025-12-15-003086-a</w:t>
      </w:r>
      <w:r>
        <w:rPr>
          <w:rFonts w:ascii="Times New Roman" w:hAnsi="Times New Roman"/>
          <w:sz w:val="20"/>
          <w:szCs w:val="20"/>
        </w:rPr>
        <w:t xml:space="preserve"> .</w:t>
      </w:r>
    </w:p>
    <w:p w:rsidR="00A26FD3" w:rsidRDefault="00A26FD3">
      <w:pPr>
        <w:spacing w:after="0" w:line="240" w:lineRule="auto"/>
        <w:jc w:val="both"/>
        <w:rPr>
          <w:rFonts w:ascii="Times New Roman" w:hAnsi="Times New Roman"/>
          <w:sz w:val="20"/>
          <w:szCs w:val="20"/>
        </w:rPr>
      </w:pPr>
      <w:r>
        <w:rPr>
          <w:rFonts w:ascii="Times New Roman" w:hAnsi="Times New Roman"/>
          <w:b/>
          <w:sz w:val="20"/>
          <w:szCs w:val="20"/>
        </w:rPr>
        <w:t>Очікувана вартість та обґрунтування очікуваної вартості предмета закупівлі:</w:t>
      </w:r>
      <w:r>
        <w:rPr>
          <w:rFonts w:ascii="Times New Roman" w:hAnsi="Times New Roman"/>
          <w:sz w:val="20"/>
          <w:szCs w:val="20"/>
        </w:rPr>
        <w:t xml:space="preserve"> 448578 грн.</w:t>
      </w:r>
    </w:p>
    <w:p w:rsidR="00A26FD3" w:rsidRDefault="00A26FD3">
      <w:pPr>
        <w:spacing w:after="0" w:line="240" w:lineRule="auto"/>
        <w:jc w:val="both"/>
        <w:rPr>
          <w:rFonts w:ascii="Times New Roman" w:hAnsi="Times New Roman"/>
          <w:sz w:val="20"/>
          <w:szCs w:val="20"/>
        </w:rPr>
      </w:pPr>
      <w:r>
        <w:rPr>
          <w:rFonts w:ascii="Times New Roman" w:hAnsi="Times New Roman"/>
          <w:sz w:val="20"/>
          <w:szCs w:val="20"/>
        </w:rPr>
        <w:t xml:space="preserve"> Визначення очікуваної вартості предмета закупівлі обумовлено аналізом споживання (річного та місячного) електричної енергії за календарний рік (бюджетний період) 2025 року.  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w:t>
      </w:r>
    </w:p>
    <w:p w:rsidR="00A26FD3" w:rsidRDefault="00A26FD3">
      <w:pPr>
        <w:spacing w:after="0" w:line="240" w:lineRule="auto"/>
        <w:ind w:firstLine="720"/>
        <w:jc w:val="both"/>
        <w:rPr>
          <w:rFonts w:ascii="Times New Roman" w:hAnsi="Times New Roman"/>
          <w:sz w:val="20"/>
          <w:szCs w:val="20"/>
        </w:rPr>
      </w:pPr>
      <w:r>
        <w:rPr>
          <w:rFonts w:ascii="Times New Roman" w:hAnsi="Times New Roman"/>
          <w:sz w:val="20"/>
          <w:szCs w:val="20"/>
        </w:rPr>
        <w:t xml:space="preserve">При цьому розрахунок очікуваної вартості проводився згідно з аналізом цін електропостачальників на електричну енергію на дату формування очікуваної вартості предмета закупівлі. До ціни електричної енергії включена вартість електричної енергії, закупованої електропостачальником на оптовому ринку електричної енергії (внутрішньодобовому ринку або ринку електричної енергії на добу наперед), послуги з передачі електричної енергії, націнка електропостачальника та всі визначені законодавством податки та збори. </w:t>
      </w:r>
    </w:p>
    <w:p w:rsidR="00A26FD3" w:rsidRDefault="00A26FD3">
      <w:pPr>
        <w:spacing w:before="280" w:after="280" w:line="240" w:lineRule="auto"/>
        <w:jc w:val="both"/>
        <w:rPr>
          <w:rFonts w:ascii="Times New Roman" w:hAnsi="Times New Roman"/>
          <w:b/>
          <w:i/>
          <w:color w:val="000000"/>
          <w:sz w:val="20"/>
          <w:szCs w:val="20"/>
        </w:rPr>
      </w:pPr>
      <w:r>
        <w:rPr>
          <w:rFonts w:ascii="Times New Roman" w:hAnsi="Times New Roman"/>
          <w:b/>
          <w:sz w:val="20"/>
          <w:szCs w:val="20"/>
        </w:rPr>
        <w:t>Розмір бюджетного призначення:</w:t>
      </w:r>
      <w:r>
        <w:rPr>
          <w:rFonts w:ascii="Times New Roman" w:hAnsi="Times New Roman"/>
          <w:sz w:val="20"/>
          <w:szCs w:val="20"/>
        </w:rPr>
        <w:t xml:space="preserve"> 542700 грн  згідно з кошторисом на 2026 рік.</w:t>
      </w:r>
    </w:p>
    <w:p w:rsidR="00A26FD3" w:rsidRDefault="00A26FD3">
      <w:pPr>
        <w:spacing w:after="120" w:line="240" w:lineRule="auto"/>
        <w:jc w:val="both"/>
        <w:rPr>
          <w:rFonts w:ascii="Times New Roman" w:hAnsi="Times New Roman"/>
          <w:sz w:val="20"/>
          <w:szCs w:val="20"/>
        </w:rPr>
      </w:pPr>
      <w:r>
        <w:rPr>
          <w:rFonts w:ascii="Times New Roman" w:hAnsi="Times New Roman"/>
          <w:b/>
          <w:sz w:val="20"/>
          <w:szCs w:val="20"/>
        </w:rPr>
        <w:t>Нормативно-правове регулювання.</w:t>
      </w:r>
      <w:r>
        <w:rPr>
          <w:rFonts w:ascii="Times New Roman" w:hAnsi="Times New Roman"/>
          <w:sz w:val="20"/>
          <w:szCs w:val="20"/>
        </w:rPr>
        <w:t xml:space="preserve"> Закупівля електричної енергії, технічні та якісні характеристики предмета закупівлі регулюються та встановлюються Законом України «Про ринок електричної енергії» (далі — Закон), Правилами роздрібного ринку електричної енергії, затвердженими постановою Національної комісії , що здійснює державне регулювання у сферах енергетики та комунальних послуг (далі — НКРЕКП) від 14.03.2018 № 312 (далі — ПРРЕЕ), Кодексом системи розподілу, затвердженим постановою Національної комісії регулювання електроенергетики та комунальних послуг України від 14.03.2018 № 310 (далі — КСР), Порядком забезпечення стандартів якості електропостачання та надання компенсацій споживачам за їх недотримання, затвердженим постановою НКРЕКП від 12.06.2018 № 375 (далі — Порядок № 375), </w:t>
      </w:r>
      <w:r>
        <w:rPr>
          <w:rFonts w:ascii="Times New Roman" w:hAnsi="Times New Roman"/>
          <w:sz w:val="20"/>
          <w:szCs w:val="20"/>
          <w:highlight w:val="white"/>
        </w:rPr>
        <w:t xml:space="preserve">Особливостями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Кабміну від 12.10.2022 № 1178, Законом України «Про публічні закупівлі» від 25.12.2015 № 922-VIII (далі — Закон № 922) </w:t>
      </w:r>
      <w:r>
        <w:rPr>
          <w:rFonts w:ascii="Times New Roman" w:hAnsi="Times New Roman"/>
          <w:sz w:val="20"/>
          <w:szCs w:val="20"/>
        </w:rPr>
        <w:t>та іншими нормативно-правовими актами, що стосуються предмета закупівлі.</w:t>
      </w:r>
    </w:p>
    <w:p w:rsidR="00A26FD3" w:rsidRDefault="00A26FD3">
      <w:pPr>
        <w:spacing w:after="0" w:line="240" w:lineRule="auto"/>
        <w:jc w:val="both"/>
        <w:rPr>
          <w:rFonts w:ascii="Times New Roman" w:hAnsi="Times New Roman"/>
          <w:sz w:val="20"/>
          <w:szCs w:val="20"/>
        </w:rPr>
      </w:pPr>
      <w:r>
        <w:rPr>
          <w:rFonts w:ascii="Times New Roman" w:hAnsi="Times New Roman"/>
          <w:b/>
          <w:sz w:val="20"/>
          <w:szCs w:val="20"/>
        </w:rPr>
        <w:t>Загальні положення.</w:t>
      </w:r>
      <w:r>
        <w:rPr>
          <w:rFonts w:ascii="Times New Roman" w:hAnsi="Times New Roman"/>
          <w:sz w:val="20"/>
          <w:szCs w:val="20"/>
        </w:rPr>
        <w:t xml:space="preserve"> Згідно з пунктом 26 статті 1 Закону електрична енергія — енергія, що виробляється на об’єктах електроенергетики і є товаром, призначеним для купівлі-продажу.</w:t>
      </w:r>
    </w:p>
    <w:p w:rsidR="00A26FD3" w:rsidRDefault="00A26FD3">
      <w:pPr>
        <w:spacing w:after="0" w:line="240" w:lineRule="auto"/>
        <w:ind w:firstLine="720"/>
        <w:jc w:val="both"/>
        <w:rPr>
          <w:rFonts w:ascii="Times New Roman" w:hAnsi="Times New Roman"/>
          <w:sz w:val="20"/>
          <w:szCs w:val="20"/>
        </w:rPr>
      </w:pPr>
      <w:r>
        <w:rPr>
          <w:rFonts w:ascii="Times New Roman" w:hAnsi="Times New Roman"/>
          <w:sz w:val="20"/>
          <w:szCs w:val="20"/>
        </w:rPr>
        <w:t>Статтею 56 Закону визначено, що постачання електричної енергії споживачам здійснюється електропостачальниками, які отримали відповідну ліцензію, за договором постачання електричної енергії споживачу.</w:t>
      </w:r>
    </w:p>
    <w:p w:rsidR="00A26FD3" w:rsidRDefault="00A26FD3">
      <w:pPr>
        <w:spacing w:after="0" w:line="240" w:lineRule="auto"/>
        <w:ind w:firstLine="720"/>
        <w:jc w:val="both"/>
        <w:rPr>
          <w:rFonts w:ascii="Times New Roman" w:hAnsi="Times New Roman"/>
          <w:sz w:val="20"/>
          <w:szCs w:val="20"/>
        </w:rPr>
      </w:pPr>
      <w:r>
        <w:rPr>
          <w:rFonts w:ascii="Times New Roman" w:hAnsi="Times New Roman"/>
          <w:sz w:val="20"/>
          <w:szCs w:val="20"/>
        </w:rPr>
        <w:t xml:space="preserve">Інформація про електропостачальника повинна міститись у переліку (ліцензійному реєстрі НКРЕКП) суб'єктів господарювання, які відповідно до вимог Закону отримали ліцензію на право провадження господарської діяльності з постачання електричної енергії, який розміщено на офіційному вебсайті НКРЕКП у розділі: </w:t>
      </w:r>
      <w:hyperlink r:id="rId4">
        <w:r>
          <w:rPr>
            <w:rFonts w:ascii="Times New Roman" w:hAnsi="Times New Roman"/>
            <w:color w:val="0000FF"/>
            <w:sz w:val="20"/>
            <w:szCs w:val="20"/>
            <w:u w:val="single"/>
          </w:rPr>
          <w:t>Електрична енергія</w:t>
        </w:r>
      </w:hyperlink>
      <w:r>
        <w:rPr>
          <w:rFonts w:ascii="Times New Roman" w:hAnsi="Times New Roman"/>
          <w:sz w:val="20"/>
          <w:szCs w:val="20"/>
        </w:rPr>
        <w:t>  /  </w:t>
      </w:r>
      <w:hyperlink r:id="rId5">
        <w:r>
          <w:rPr>
            <w:rFonts w:ascii="Times New Roman" w:hAnsi="Times New Roman"/>
            <w:color w:val="0000FF"/>
            <w:sz w:val="20"/>
            <w:szCs w:val="20"/>
            <w:u w:val="single"/>
          </w:rPr>
          <w:t>Ліцензування</w:t>
        </w:r>
      </w:hyperlink>
      <w:r>
        <w:rPr>
          <w:rFonts w:ascii="Times New Roman" w:hAnsi="Times New Roman"/>
          <w:sz w:val="20"/>
          <w:szCs w:val="20"/>
        </w:rPr>
        <w:t>  /  </w:t>
      </w:r>
      <w:hyperlink r:id="rId6">
        <w:r>
          <w:rPr>
            <w:rFonts w:ascii="Times New Roman" w:hAnsi="Times New Roman"/>
            <w:color w:val="0000FF"/>
            <w:sz w:val="20"/>
            <w:szCs w:val="20"/>
            <w:u w:val="single"/>
          </w:rPr>
          <w:t>Реєстри ліцензіатів</w:t>
        </w:r>
      </w:hyperlink>
      <w:r>
        <w:rPr>
          <w:rFonts w:ascii="Times New Roman" w:hAnsi="Times New Roman"/>
          <w:sz w:val="20"/>
          <w:szCs w:val="20"/>
        </w:rPr>
        <w:t xml:space="preserve"> (вид діяльності — постачання електричної енергії). </w:t>
      </w:r>
    </w:p>
    <w:p w:rsidR="00A26FD3" w:rsidRDefault="00A26FD3">
      <w:pPr>
        <w:spacing w:after="0" w:line="240" w:lineRule="auto"/>
        <w:ind w:firstLine="720"/>
        <w:jc w:val="both"/>
        <w:rPr>
          <w:rFonts w:ascii="Times New Roman" w:hAnsi="Times New Roman"/>
          <w:sz w:val="20"/>
          <w:szCs w:val="20"/>
        </w:rPr>
      </w:pPr>
      <w:r>
        <w:rPr>
          <w:rFonts w:ascii="Times New Roman" w:hAnsi="Times New Roman"/>
          <w:sz w:val="20"/>
          <w:szCs w:val="20"/>
        </w:rPr>
        <w:t>Електропостачальник повинен забезпечити поставку електричної енергії на об’єкт замовника Заклад дошкільної освіти(ясла-садок) №6 «Казка» Сарненської міської ради, який знаходиться за адресою м. Сарни, вул. Березнева,3 та підключений до місцевих розподільчих мереж відповідно до вимог Кодексу розподільчих систем, технічні та якісні характеристики якої повинні відповідати нормам чинного на території України законодавства, державним, міжнародним стандартам та вимогам державної політики України в галузі захисту довкілля.</w:t>
      </w:r>
    </w:p>
    <w:p w:rsidR="00A26FD3" w:rsidRDefault="00A26FD3">
      <w:pPr>
        <w:spacing w:after="120" w:line="240" w:lineRule="auto"/>
        <w:ind w:firstLine="708"/>
        <w:jc w:val="both"/>
        <w:rPr>
          <w:rFonts w:ascii="Times New Roman" w:hAnsi="Times New Roman"/>
          <w:sz w:val="20"/>
          <w:szCs w:val="20"/>
        </w:rPr>
      </w:pPr>
    </w:p>
    <w:p w:rsidR="00A26FD3" w:rsidRDefault="00A26FD3">
      <w:pPr>
        <w:spacing w:after="0" w:line="240" w:lineRule="auto"/>
        <w:jc w:val="both"/>
        <w:rPr>
          <w:rFonts w:ascii="Times New Roman" w:hAnsi="Times New Roman"/>
          <w:b/>
          <w:sz w:val="20"/>
          <w:szCs w:val="20"/>
        </w:rPr>
      </w:pPr>
      <w:r>
        <w:rPr>
          <w:rFonts w:ascii="Times New Roman" w:hAnsi="Times New Roman"/>
          <w:b/>
          <w:sz w:val="20"/>
          <w:szCs w:val="20"/>
        </w:rPr>
        <w:t xml:space="preserve">Обґрунтування технічних характеристик. </w:t>
      </w:r>
    </w:p>
    <w:p w:rsidR="00A26FD3" w:rsidRDefault="00A26FD3">
      <w:pPr>
        <w:spacing w:after="0" w:line="240" w:lineRule="auto"/>
        <w:ind w:firstLine="720"/>
        <w:jc w:val="both"/>
        <w:rPr>
          <w:rFonts w:ascii="Times New Roman" w:hAnsi="Times New Roman"/>
          <w:sz w:val="20"/>
          <w:szCs w:val="20"/>
        </w:rPr>
      </w:pPr>
      <w:r>
        <w:rPr>
          <w:rFonts w:ascii="Times New Roman" w:hAnsi="Times New Roman"/>
          <w:sz w:val="20"/>
          <w:szCs w:val="20"/>
        </w:rPr>
        <w:t xml:space="preserve">Термін постачання — з 1 січня 2026 р. по 31 грудня 2026 р. </w:t>
      </w:r>
    </w:p>
    <w:p w:rsidR="00A26FD3" w:rsidRDefault="00A26FD3">
      <w:pPr>
        <w:spacing w:after="0" w:line="240" w:lineRule="auto"/>
        <w:ind w:firstLine="720"/>
        <w:jc w:val="both"/>
        <w:rPr>
          <w:rFonts w:ascii="Times New Roman" w:hAnsi="Times New Roman"/>
          <w:sz w:val="20"/>
          <w:szCs w:val="20"/>
        </w:rPr>
      </w:pPr>
      <w:r>
        <w:rPr>
          <w:rFonts w:ascii="Times New Roman" w:hAnsi="Times New Roman"/>
          <w:sz w:val="20"/>
          <w:szCs w:val="20"/>
        </w:rPr>
        <w:t xml:space="preserve">Кількісною характеристикою предмета закупівлі є обсяг споживання електричної енергії. За одиницю виміру кількості електричної енергії приймається кіловат-година, яка дорівнює кількості енергії, спожитої пристроями потужністю в один кіловат протягом однієї години. </w:t>
      </w:r>
    </w:p>
    <w:p w:rsidR="00A26FD3" w:rsidRDefault="00A26FD3">
      <w:pPr>
        <w:spacing w:after="0" w:line="240" w:lineRule="auto"/>
        <w:ind w:firstLine="720"/>
        <w:jc w:val="both"/>
        <w:rPr>
          <w:rFonts w:ascii="Times New Roman" w:hAnsi="Times New Roman"/>
          <w:sz w:val="20"/>
          <w:szCs w:val="20"/>
        </w:rPr>
      </w:pPr>
      <w:r>
        <w:rPr>
          <w:rFonts w:ascii="Times New Roman" w:hAnsi="Times New Roman"/>
          <w:sz w:val="20"/>
          <w:szCs w:val="20"/>
        </w:rPr>
        <w:t>Обсяг, необхідний для забезпечення діяльності та власних потреб об’єктів замовника, та враховуючи обсяги споживання переднього календарного року, становить 45000  кВт. год на 2026 р.</w:t>
      </w:r>
    </w:p>
    <w:p w:rsidR="00A26FD3" w:rsidRDefault="00A26FD3">
      <w:pPr>
        <w:spacing w:after="0" w:line="240" w:lineRule="auto"/>
        <w:ind w:firstLine="708"/>
        <w:jc w:val="both"/>
        <w:rPr>
          <w:rFonts w:ascii="Times New Roman" w:hAnsi="Times New Roman"/>
          <w:sz w:val="20"/>
          <w:szCs w:val="20"/>
        </w:rPr>
      </w:pPr>
    </w:p>
    <w:p w:rsidR="00A26FD3" w:rsidRDefault="00A26FD3">
      <w:pPr>
        <w:spacing w:after="0" w:line="240" w:lineRule="auto"/>
        <w:jc w:val="both"/>
        <w:rPr>
          <w:rFonts w:ascii="Times New Roman" w:hAnsi="Times New Roman"/>
          <w:sz w:val="20"/>
          <w:szCs w:val="20"/>
        </w:rPr>
      </w:pPr>
      <w:r>
        <w:rPr>
          <w:rFonts w:ascii="Times New Roman" w:hAnsi="Times New Roman"/>
          <w:b/>
          <w:sz w:val="20"/>
          <w:szCs w:val="20"/>
        </w:rPr>
        <w:t>Обґрунтування якісних характеристик</w:t>
      </w:r>
      <w:r>
        <w:rPr>
          <w:rFonts w:ascii="Times New Roman" w:hAnsi="Times New Roman"/>
          <w:sz w:val="20"/>
          <w:szCs w:val="20"/>
        </w:rPr>
        <w:t xml:space="preserve">. Пунктом 1.1.2 пункту 1.1 розділу І ПРРЕЕ визначено, що </w:t>
      </w:r>
      <w:bookmarkStart w:id="1" w:name="bookmark=id.gjdgxs" w:colFirst="0" w:colLast="0"/>
      <w:bookmarkEnd w:id="1"/>
      <w:r>
        <w:rPr>
          <w:rFonts w:ascii="Times New Roman" w:hAnsi="Times New Roman"/>
          <w:sz w:val="20"/>
          <w:szCs w:val="20"/>
        </w:rPr>
        <w:t xml:space="preserve">якість електропостачання — це перелік визначених Регулятором показників (і їх величин),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w:t>
      </w:r>
      <w:bookmarkStart w:id="2" w:name="bookmark=id.30j0zll" w:colFirst="0" w:colLast="0"/>
      <w:bookmarkEnd w:id="2"/>
      <w:r>
        <w:rPr>
          <w:rFonts w:ascii="Times New Roman" w:hAnsi="Times New Roman"/>
          <w:sz w:val="20"/>
          <w:szCs w:val="20"/>
        </w:rPr>
        <w:t>якість електричної енергії.</w:t>
      </w:r>
    </w:p>
    <w:p w:rsidR="00A26FD3" w:rsidRDefault="00A26FD3">
      <w:pPr>
        <w:spacing w:after="0" w:line="240" w:lineRule="auto"/>
        <w:ind w:firstLine="720"/>
        <w:jc w:val="both"/>
        <w:rPr>
          <w:rFonts w:ascii="Times New Roman" w:hAnsi="Times New Roman"/>
          <w:sz w:val="20"/>
          <w:szCs w:val="20"/>
        </w:rPr>
      </w:pPr>
      <w:r>
        <w:rPr>
          <w:rFonts w:ascii="Times New Roman" w:hAnsi="Times New Roman"/>
          <w:sz w:val="20"/>
          <w:szCs w:val="20"/>
        </w:rPr>
        <w:t xml:space="preserve">Електропостачальник забезпечує дотримання загальних та гарантованих стандартів якості надання послуг з електропостачання, у тому числі тих, що передбачені згідно з Порядком № 375, Законом, ПРРЕЕ, КСР, умовами договору про постачання електричної енергії (договору про закупівлю) та іншими нормативно-правовими актами. </w:t>
      </w:r>
    </w:p>
    <w:p w:rsidR="00A26FD3" w:rsidRDefault="00A26FD3">
      <w:pPr>
        <w:spacing w:after="0" w:line="240" w:lineRule="auto"/>
        <w:ind w:firstLine="720"/>
        <w:jc w:val="both"/>
        <w:rPr>
          <w:rFonts w:ascii="Times New Roman" w:hAnsi="Times New Roman"/>
          <w:sz w:val="20"/>
          <w:szCs w:val="20"/>
        </w:rPr>
      </w:pPr>
      <w:r>
        <w:rPr>
          <w:rFonts w:ascii="Times New Roman" w:hAnsi="Times New Roman"/>
          <w:sz w:val="20"/>
          <w:szCs w:val="20"/>
        </w:rPr>
        <w:t xml:space="preserve">Згідно зі статтею 18 Закону показники якості електропостачання повинні відповідати величинам, що затверджені НКРЕКП. </w:t>
      </w:r>
    </w:p>
    <w:p w:rsidR="00A26FD3" w:rsidRDefault="00A26FD3">
      <w:pPr>
        <w:shd w:val="clear" w:color="auto" w:fill="FFFFFF"/>
        <w:spacing w:after="0" w:line="240" w:lineRule="auto"/>
        <w:ind w:firstLine="708"/>
        <w:jc w:val="both"/>
        <w:rPr>
          <w:rFonts w:ascii="Times New Roman" w:hAnsi="Times New Roman"/>
          <w:sz w:val="20"/>
          <w:szCs w:val="20"/>
        </w:rPr>
      </w:pPr>
      <w:r>
        <w:rPr>
          <w:rFonts w:ascii="Times New Roman" w:hAnsi="Times New Roman"/>
          <w:sz w:val="20"/>
          <w:szCs w:val="20"/>
        </w:rPr>
        <w:t>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w:t>
      </w:r>
    </w:p>
    <w:p w:rsidR="00A26FD3" w:rsidRDefault="00A26FD3">
      <w:pPr>
        <w:shd w:val="clear" w:color="auto" w:fill="FFFFFF"/>
        <w:spacing w:after="0" w:line="240" w:lineRule="auto"/>
        <w:ind w:firstLine="708"/>
        <w:jc w:val="both"/>
        <w:rPr>
          <w:rFonts w:ascii="Times New Roman" w:hAnsi="Times New Roman"/>
          <w:sz w:val="20"/>
          <w:szCs w:val="20"/>
        </w:rPr>
      </w:pPr>
      <w:r>
        <w:rPr>
          <w:rFonts w:ascii="Times New Roman" w:hAnsi="Times New Roman"/>
          <w:sz w:val="20"/>
          <w:szCs w:val="20"/>
        </w:rPr>
        <w:t>Якість електричної енергії характеризується фізичними параметрами поставленої споживачу електричної енергії та їх відповідністю встановленому законодавством стандарту. Якість електричної енергії забезпечується ОСР під час надання послуги з розподілу електричної енергії.</w:t>
      </w:r>
    </w:p>
    <w:p w:rsidR="00A26FD3" w:rsidRDefault="00A26FD3">
      <w:pPr>
        <w:spacing w:after="0" w:line="240" w:lineRule="auto"/>
        <w:ind w:firstLine="720"/>
        <w:jc w:val="both"/>
        <w:rPr>
          <w:rFonts w:ascii="Times New Roman" w:hAnsi="Times New Roman"/>
          <w:sz w:val="20"/>
          <w:szCs w:val="20"/>
        </w:rPr>
      </w:pPr>
      <w:r>
        <w:rPr>
          <w:rFonts w:ascii="Times New Roman" w:hAnsi="Times New Roman"/>
          <w:sz w:val="20"/>
          <w:szCs w:val="20"/>
        </w:rPr>
        <w:t>Стосовно технічних, якісних характеристик предмета закупівлі передбачається необхідність застосування заходів із захисту довкілля, у тому числі під час виконання договору про закупівлю. Електропостачальник зобов’язується дотримуватися передбачених чинним законодавством вимог щодо застосування заходів із захисту довкілля.</w:t>
      </w:r>
    </w:p>
    <w:p w:rsidR="00A26FD3" w:rsidRDefault="00A26FD3">
      <w:pPr>
        <w:spacing w:after="0" w:line="240" w:lineRule="auto"/>
        <w:jc w:val="both"/>
        <w:rPr>
          <w:rFonts w:ascii="Times New Roman" w:hAnsi="Times New Roman"/>
          <w:sz w:val="24"/>
          <w:szCs w:val="24"/>
        </w:rPr>
      </w:pPr>
    </w:p>
    <w:p w:rsidR="00A26FD3" w:rsidRDefault="00A26FD3">
      <w:pPr>
        <w:spacing w:after="0" w:line="240" w:lineRule="auto"/>
        <w:jc w:val="both"/>
        <w:rPr>
          <w:rFonts w:ascii="Times New Roman" w:hAnsi="Times New Roman"/>
          <w:sz w:val="24"/>
          <w:szCs w:val="24"/>
        </w:rPr>
      </w:pPr>
    </w:p>
    <w:p w:rsidR="00A26FD3" w:rsidRDefault="00A26FD3">
      <w:pPr>
        <w:spacing w:after="0" w:line="240" w:lineRule="auto"/>
        <w:jc w:val="both"/>
        <w:rPr>
          <w:rFonts w:ascii="Times New Roman" w:hAnsi="Times New Roman"/>
          <w:sz w:val="24"/>
          <w:szCs w:val="24"/>
        </w:rPr>
      </w:pPr>
    </w:p>
    <w:p w:rsidR="00A26FD3" w:rsidRDefault="00A26FD3">
      <w:pPr>
        <w:spacing w:after="0" w:line="240" w:lineRule="auto"/>
        <w:jc w:val="both"/>
        <w:rPr>
          <w:rFonts w:ascii="Times New Roman" w:hAnsi="Times New Roman"/>
          <w:sz w:val="24"/>
          <w:szCs w:val="24"/>
        </w:rPr>
      </w:pPr>
    </w:p>
    <w:p w:rsidR="00A26FD3" w:rsidRDefault="00A26FD3">
      <w:pPr>
        <w:spacing w:after="0" w:line="240" w:lineRule="auto"/>
        <w:jc w:val="both"/>
        <w:rPr>
          <w:rFonts w:ascii="Times New Roman" w:hAnsi="Times New Roman"/>
          <w:sz w:val="24"/>
          <w:szCs w:val="24"/>
        </w:rPr>
      </w:pPr>
    </w:p>
    <w:tbl>
      <w:tblPr>
        <w:tblW w:w="9639" w:type="dxa"/>
        <w:tblInd w:w="108" w:type="dxa"/>
        <w:tblLayout w:type="fixed"/>
        <w:tblLook w:val="00A0"/>
      </w:tblPr>
      <w:tblGrid>
        <w:gridCol w:w="3828"/>
        <w:gridCol w:w="3012"/>
        <w:gridCol w:w="2799"/>
      </w:tblGrid>
      <w:tr w:rsidR="00A26FD3" w:rsidRPr="002B06AB" w:rsidTr="004534E8">
        <w:trPr>
          <w:trHeight w:val="354"/>
        </w:trPr>
        <w:tc>
          <w:tcPr>
            <w:tcW w:w="3828" w:type="dxa"/>
          </w:tcPr>
          <w:p w:rsidR="00A26FD3" w:rsidRPr="009237A7" w:rsidRDefault="00A26FD3" w:rsidP="004534E8">
            <w:pPr>
              <w:shd w:val="clear" w:color="auto" w:fill="FFFFFF"/>
              <w:spacing w:after="0"/>
              <w:ind w:left="-105" w:firstLine="3"/>
              <w:jc w:val="center"/>
              <w:rPr>
                <w:rFonts w:ascii="Times New Roman" w:hAnsi="Times New Roman"/>
                <w:b/>
                <w:bCs/>
                <w:iCs/>
                <w:spacing w:val="-4"/>
                <w:sz w:val="20"/>
                <w:szCs w:val="20"/>
              </w:rPr>
            </w:pPr>
            <w:r w:rsidRPr="009237A7">
              <w:rPr>
                <w:rFonts w:ascii="Times New Roman" w:hAnsi="Times New Roman"/>
                <w:b/>
                <w:bCs/>
                <w:iCs/>
                <w:spacing w:val="-4"/>
                <w:sz w:val="20"/>
                <w:szCs w:val="20"/>
              </w:rPr>
              <w:t>Уповноважена особа,</w:t>
            </w:r>
          </w:p>
          <w:p w:rsidR="00A26FD3" w:rsidRPr="002B06AB" w:rsidRDefault="00A26FD3" w:rsidP="004534E8">
            <w:pPr>
              <w:shd w:val="clear" w:color="auto" w:fill="FFFFFF"/>
              <w:spacing w:after="0"/>
              <w:ind w:left="-105" w:firstLine="3"/>
              <w:jc w:val="center"/>
              <w:rPr>
                <w:rFonts w:ascii="Times New Roman" w:hAnsi="Times New Roman"/>
                <w:b/>
                <w:bCs/>
                <w:iCs/>
                <w:spacing w:val="-4"/>
                <w:sz w:val="24"/>
                <w:szCs w:val="24"/>
              </w:rPr>
            </w:pPr>
            <w:r w:rsidRPr="009237A7">
              <w:rPr>
                <w:rFonts w:ascii="Times New Roman" w:hAnsi="Times New Roman"/>
                <w:b/>
                <w:bCs/>
                <w:iCs/>
                <w:spacing w:val="-4"/>
                <w:sz w:val="20"/>
                <w:szCs w:val="20"/>
              </w:rPr>
              <w:t>Бухгалтер</w:t>
            </w:r>
          </w:p>
        </w:tc>
        <w:tc>
          <w:tcPr>
            <w:tcW w:w="3012" w:type="dxa"/>
            <w:vAlign w:val="center"/>
          </w:tcPr>
          <w:p w:rsidR="00A26FD3" w:rsidRPr="002B06AB" w:rsidRDefault="00A26FD3" w:rsidP="009237A7">
            <w:pPr>
              <w:tabs>
                <w:tab w:val="left" w:pos="1440"/>
              </w:tabs>
              <w:spacing w:after="0"/>
              <w:rPr>
                <w:rFonts w:ascii="Times New Roman" w:hAnsi="Times New Roman"/>
                <w:sz w:val="16"/>
                <w:szCs w:val="16"/>
              </w:rPr>
            </w:pPr>
          </w:p>
          <w:p w:rsidR="00A26FD3" w:rsidRPr="002B06AB" w:rsidRDefault="00A26FD3" w:rsidP="004534E8">
            <w:pPr>
              <w:tabs>
                <w:tab w:val="left" w:pos="1440"/>
              </w:tabs>
              <w:spacing w:after="0"/>
              <w:jc w:val="center"/>
              <w:rPr>
                <w:rFonts w:ascii="Times New Roman" w:hAnsi="Times New Roman"/>
                <w:sz w:val="16"/>
                <w:szCs w:val="16"/>
              </w:rPr>
            </w:pPr>
            <w:r w:rsidRPr="002B06AB">
              <w:rPr>
                <w:rFonts w:ascii="Times New Roman" w:hAnsi="Times New Roman"/>
                <w:sz w:val="16"/>
                <w:szCs w:val="16"/>
              </w:rPr>
              <w:t>________________</w:t>
            </w:r>
          </w:p>
          <w:p w:rsidR="00A26FD3" w:rsidRPr="002B06AB" w:rsidRDefault="00A26FD3" w:rsidP="004534E8">
            <w:pPr>
              <w:tabs>
                <w:tab w:val="left" w:pos="1440"/>
              </w:tabs>
              <w:spacing w:after="0"/>
              <w:jc w:val="center"/>
              <w:rPr>
                <w:rFonts w:ascii="Times New Roman" w:hAnsi="Times New Roman"/>
                <w:sz w:val="24"/>
                <w:szCs w:val="24"/>
              </w:rPr>
            </w:pPr>
            <w:r w:rsidRPr="002B06AB">
              <w:rPr>
                <w:rFonts w:ascii="Times New Roman" w:hAnsi="Times New Roman"/>
                <w:sz w:val="16"/>
                <w:szCs w:val="16"/>
              </w:rPr>
              <w:t>підпис</w:t>
            </w:r>
          </w:p>
        </w:tc>
        <w:tc>
          <w:tcPr>
            <w:tcW w:w="2799" w:type="dxa"/>
            <w:vAlign w:val="center"/>
          </w:tcPr>
          <w:p w:rsidR="00A26FD3" w:rsidRPr="002B06AB" w:rsidRDefault="00A26FD3" w:rsidP="004534E8">
            <w:pPr>
              <w:tabs>
                <w:tab w:val="left" w:pos="1440"/>
              </w:tabs>
              <w:spacing w:after="0"/>
              <w:rPr>
                <w:rFonts w:ascii="Times New Roman" w:hAnsi="Times New Roman"/>
                <w:b/>
                <w:bCs/>
                <w:sz w:val="24"/>
                <w:szCs w:val="24"/>
              </w:rPr>
            </w:pPr>
            <w:r>
              <w:rPr>
                <w:rFonts w:ascii="Times New Roman" w:hAnsi="Times New Roman"/>
                <w:b/>
                <w:bCs/>
                <w:sz w:val="24"/>
                <w:szCs w:val="24"/>
              </w:rPr>
              <w:t>Вікторія ВАСЬКЕВИЧ</w:t>
            </w:r>
          </w:p>
        </w:tc>
      </w:tr>
    </w:tbl>
    <w:p w:rsidR="00A26FD3" w:rsidRDefault="00A26FD3">
      <w:pPr>
        <w:spacing w:after="0" w:line="240" w:lineRule="auto"/>
        <w:jc w:val="both"/>
        <w:rPr>
          <w:rFonts w:ascii="Times New Roman" w:hAnsi="Times New Roman"/>
          <w:sz w:val="24"/>
          <w:szCs w:val="24"/>
        </w:rPr>
      </w:pPr>
    </w:p>
    <w:sectPr w:rsidR="00A26FD3" w:rsidSect="003878A5">
      <w:pgSz w:w="11906" w:h="16838"/>
      <w:pgMar w:top="850" w:right="850" w:bottom="850" w:left="1417"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78A5"/>
    <w:rsid w:val="001478EA"/>
    <w:rsid w:val="001E26A9"/>
    <w:rsid w:val="002567A9"/>
    <w:rsid w:val="002B06AB"/>
    <w:rsid w:val="00360EE5"/>
    <w:rsid w:val="003878A5"/>
    <w:rsid w:val="00433310"/>
    <w:rsid w:val="004534E8"/>
    <w:rsid w:val="0048548D"/>
    <w:rsid w:val="004D7E71"/>
    <w:rsid w:val="007B08F5"/>
    <w:rsid w:val="009237A7"/>
    <w:rsid w:val="0096089B"/>
    <w:rsid w:val="00A26FD3"/>
    <w:rsid w:val="00B96890"/>
    <w:rsid w:val="00BD7E80"/>
    <w:rsid w:val="00C065D7"/>
    <w:rsid w:val="00C1015E"/>
    <w:rsid w:val="00D83D6A"/>
    <w:rsid w:val="00D83E49"/>
    <w:rsid w:val="00DB1EE4"/>
    <w:rsid w:val="00F56E1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26A9"/>
    <w:pPr>
      <w:spacing w:after="200" w:line="276" w:lineRule="auto"/>
    </w:pPr>
    <w:rPr>
      <w:rFonts w:cs="Times New Roman"/>
    </w:rPr>
  </w:style>
  <w:style w:type="paragraph" w:styleId="Heading1">
    <w:name w:val="heading 1"/>
    <w:basedOn w:val="normal0"/>
    <w:next w:val="normal0"/>
    <w:link w:val="Heading1Char"/>
    <w:uiPriority w:val="99"/>
    <w:qFormat/>
    <w:rsid w:val="003878A5"/>
    <w:pPr>
      <w:keepNext/>
      <w:keepLines/>
      <w:spacing w:before="480" w:after="120"/>
      <w:outlineLvl w:val="0"/>
    </w:pPr>
    <w:rPr>
      <w:b/>
      <w:sz w:val="48"/>
      <w:szCs w:val="48"/>
    </w:rPr>
  </w:style>
  <w:style w:type="paragraph" w:styleId="Heading2">
    <w:name w:val="heading 2"/>
    <w:basedOn w:val="normal0"/>
    <w:next w:val="normal0"/>
    <w:link w:val="Heading2Char"/>
    <w:uiPriority w:val="99"/>
    <w:qFormat/>
    <w:rsid w:val="003878A5"/>
    <w:pPr>
      <w:keepNext/>
      <w:keepLines/>
      <w:spacing w:before="360" w:after="80"/>
      <w:outlineLvl w:val="1"/>
    </w:pPr>
    <w:rPr>
      <w:b/>
      <w:sz w:val="36"/>
      <w:szCs w:val="36"/>
    </w:rPr>
  </w:style>
  <w:style w:type="paragraph" w:styleId="Heading3">
    <w:name w:val="heading 3"/>
    <w:basedOn w:val="normal0"/>
    <w:next w:val="normal0"/>
    <w:link w:val="Heading3Char"/>
    <w:uiPriority w:val="99"/>
    <w:qFormat/>
    <w:rsid w:val="003878A5"/>
    <w:pPr>
      <w:keepNext/>
      <w:keepLines/>
      <w:spacing w:before="280" w:after="80"/>
      <w:outlineLvl w:val="2"/>
    </w:pPr>
    <w:rPr>
      <w:b/>
      <w:sz w:val="28"/>
      <w:szCs w:val="28"/>
    </w:rPr>
  </w:style>
  <w:style w:type="paragraph" w:styleId="Heading4">
    <w:name w:val="heading 4"/>
    <w:basedOn w:val="normal0"/>
    <w:next w:val="normal0"/>
    <w:link w:val="Heading4Char"/>
    <w:uiPriority w:val="99"/>
    <w:qFormat/>
    <w:rsid w:val="003878A5"/>
    <w:pPr>
      <w:keepNext/>
      <w:keepLines/>
      <w:spacing w:before="240" w:after="40"/>
      <w:outlineLvl w:val="3"/>
    </w:pPr>
    <w:rPr>
      <w:b/>
      <w:sz w:val="24"/>
      <w:szCs w:val="24"/>
    </w:rPr>
  </w:style>
  <w:style w:type="paragraph" w:styleId="Heading5">
    <w:name w:val="heading 5"/>
    <w:basedOn w:val="normal0"/>
    <w:next w:val="normal0"/>
    <w:link w:val="Heading5Char"/>
    <w:uiPriority w:val="99"/>
    <w:qFormat/>
    <w:rsid w:val="003878A5"/>
    <w:pPr>
      <w:keepNext/>
      <w:keepLines/>
      <w:spacing w:before="220" w:after="40"/>
      <w:outlineLvl w:val="4"/>
    </w:pPr>
    <w:rPr>
      <w:b/>
    </w:rPr>
  </w:style>
  <w:style w:type="paragraph" w:styleId="Heading6">
    <w:name w:val="heading 6"/>
    <w:basedOn w:val="normal0"/>
    <w:next w:val="normal0"/>
    <w:link w:val="Heading6Char"/>
    <w:uiPriority w:val="99"/>
    <w:qFormat/>
    <w:rsid w:val="003878A5"/>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567A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567A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567A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567A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2567A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2567A9"/>
    <w:rPr>
      <w:rFonts w:ascii="Calibri" w:hAnsi="Calibri" w:cs="Times New Roman"/>
      <w:b/>
      <w:bCs/>
    </w:rPr>
  </w:style>
  <w:style w:type="paragraph" w:customStyle="1" w:styleId="normal0">
    <w:name w:val="normal"/>
    <w:uiPriority w:val="99"/>
    <w:rsid w:val="003878A5"/>
    <w:pPr>
      <w:spacing w:after="200" w:line="276" w:lineRule="auto"/>
    </w:pPr>
  </w:style>
  <w:style w:type="paragraph" w:styleId="Title">
    <w:name w:val="Title"/>
    <w:basedOn w:val="normal0"/>
    <w:next w:val="normal0"/>
    <w:link w:val="TitleChar"/>
    <w:uiPriority w:val="99"/>
    <w:qFormat/>
    <w:rsid w:val="003878A5"/>
    <w:pPr>
      <w:keepNext/>
      <w:keepLines/>
      <w:spacing w:before="480" w:after="120"/>
    </w:pPr>
    <w:rPr>
      <w:b/>
      <w:sz w:val="72"/>
      <w:szCs w:val="72"/>
    </w:rPr>
  </w:style>
  <w:style w:type="character" w:customStyle="1" w:styleId="TitleChar">
    <w:name w:val="Title Char"/>
    <w:basedOn w:val="DefaultParagraphFont"/>
    <w:link w:val="Title"/>
    <w:uiPriority w:val="99"/>
    <w:locked/>
    <w:rsid w:val="002567A9"/>
    <w:rPr>
      <w:rFonts w:ascii="Cambria" w:hAnsi="Cambria" w:cs="Times New Roman"/>
      <w:b/>
      <w:bCs/>
      <w:kern w:val="28"/>
      <w:sz w:val="32"/>
      <w:szCs w:val="32"/>
    </w:rPr>
  </w:style>
  <w:style w:type="character" w:customStyle="1" w:styleId="rvts0">
    <w:name w:val="rvts0"/>
    <w:basedOn w:val="DefaultParagraphFont"/>
    <w:uiPriority w:val="99"/>
    <w:rsid w:val="001E26A9"/>
    <w:rPr>
      <w:rFonts w:cs="Times New Roman"/>
    </w:rPr>
  </w:style>
  <w:style w:type="character" w:styleId="Hyperlink">
    <w:name w:val="Hyperlink"/>
    <w:basedOn w:val="DefaultParagraphFont"/>
    <w:uiPriority w:val="99"/>
    <w:semiHidden/>
    <w:rsid w:val="001E26A9"/>
    <w:rPr>
      <w:rFonts w:cs="Times New Roman"/>
      <w:color w:val="0000FF"/>
      <w:u w:val="single"/>
    </w:rPr>
  </w:style>
  <w:style w:type="character" w:styleId="Emphasis">
    <w:name w:val="Emphasis"/>
    <w:basedOn w:val="DefaultParagraphFont"/>
    <w:uiPriority w:val="99"/>
    <w:qFormat/>
    <w:rsid w:val="001E26A9"/>
    <w:rPr>
      <w:rFonts w:cs="Times New Roman"/>
      <w:i/>
    </w:rPr>
  </w:style>
  <w:style w:type="paragraph" w:styleId="Subtitle">
    <w:name w:val="Subtitle"/>
    <w:basedOn w:val="normal0"/>
    <w:next w:val="normal0"/>
    <w:link w:val="SubtitleChar"/>
    <w:uiPriority w:val="99"/>
    <w:qFormat/>
    <w:rsid w:val="003878A5"/>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sid w:val="002567A9"/>
    <w:rPr>
      <w:rFonts w:ascii="Cambria" w:hAnsi="Cambria"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rc.gov.ua/?id=16075" TargetMode="External"/><Relationship Id="rId5" Type="http://schemas.openxmlformats.org/officeDocument/2006/relationships/hyperlink" Target="https://www.nerc.gov.ua/?id=15953" TargetMode="External"/><Relationship Id="rId4" Type="http://schemas.openxmlformats.org/officeDocument/2006/relationships/hyperlink" Target="https://www.nerc.gov.ua/?id=159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2</Pages>
  <Words>1071</Words>
  <Characters>6108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Останні зміни - 06</dc:title>
  <dc:subject/>
  <dc:creator>userua12</dc:creator>
  <cp:keywords/>
  <dc:description/>
  <cp:lastModifiedBy>Администратор</cp:lastModifiedBy>
  <cp:revision>5</cp:revision>
  <cp:lastPrinted>2025-12-30T08:47:00Z</cp:lastPrinted>
  <dcterms:created xsi:type="dcterms:W3CDTF">2025-12-26T06:15:00Z</dcterms:created>
  <dcterms:modified xsi:type="dcterms:W3CDTF">2025-12-31T06:30:00Z</dcterms:modified>
</cp:coreProperties>
</file>